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54" w:rsidRPr="00FA61EC" w:rsidRDefault="00495A42" w:rsidP="00FA61EC">
      <w:pPr>
        <w:shd w:val="clear" w:color="auto" w:fill="FCFDF6"/>
        <w:spacing w:before="180" w:after="1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РЕЗУЛЬТАТЫ НАЧАЛЬНОГО МОНИТОРИНГА И КОРРЕКТИРОВКА </w:t>
      </w:r>
      <w:proofErr w:type="gramStart"/>
      <w:r w:rsidRPr="00FA61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ОБРАЗОВАТЕЛЬНОЙ </w:t>
      </w:r>
      <w:r w:rsidR="008D5C54" w:rsidRPr="00FA61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РАБОТЫ</w:t>
      </w:r>
      <w:proofErr w:type="gramEnd"/>
      <w:r w:rsidR="008D5C54" w:rsidRPr="00FA61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В ГРУППЕ</w:t>
      </w:r>
    </w:p>
    <w:p w:rsidR="009309F3" w:rsidRPr="00495A42" w:rsidRDefault="009309F3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309F3" w:rsidRPr="00FA61EC" w:rsidRDefault="00495A42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в РФ особое внимание уделяется повышению качества образования детей. На это нацеливает нас и ФГОС ДО. Но качественно подстроить </w:t>
      </w:r>
      <w:proofErr w:type="spell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воспитательный процесс под каждого ребёнка и конкретную подгруппу или группу детей возможно только при следующих условиях:</w:t>
      </w:r>
    </w:p>
    <w:p w:rsidR="00495A42" w:rsidRPr="00FA61EC" w:rsidRDefault="00495A42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Знание уровня развития ребёнка, его индивидуальных и возрастных возможностей при усвоении учебного материала</w:t>
      </w:r>
    </w:p>
    <w:p w:rsidR="00495A42" w:rsidRPr="00FA61EC" w:rsidRDefault="00495A42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Наличие обратной связи между педагогом и ребёнком: педагог контролирует уровень усвоения группой той или иной темы и исходя из этого, планирует дальнейшие шаги по обучению и развитию детей.</w:t>
      </w:r>
    </w:p>
    <w:p w:rsidR="00F401B1" w:rsidRPr="00FA61EC" w:rsidRDefault="00495A42" w:rsidP="00F401B1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Наблюдение результатов педагогического воздействия с целью выявления их эффективности</w:t>
      </w:r>
      <w:r w:rsidR="00F401B1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корректировки </w:t>
      </w:r>
      <w:proofErr w:type="spellStart"/>
      <w:r w:rsidR="00F401B1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="00F401B1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воспитательного процесса.</w:t>
      </w:r>
    </w:p>
    <w:p w:rsidR="009309F3" w:rsidRPr="00FA61EC" w:rsidRDefault="009309F3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Длительное слежение за какими-либо объектами или явлениями педагогической дея</w:t>
      </w:r>
      <w:r w:rsidR="00F401B1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тельности, применение определённых методик для выявления эффективности педагогического воздействия называется </w:t>
      </w:r>
      <w:r w:rsidR="00F401B1"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педагогическим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мониторингом</w:t>
      </w:r>
      <w:r w:rsidR="00F401B1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5A290F" w:rsidRPr="00FA61EC" w:rsidRDefault="005A290F" w:rsidP="005A290F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="00E022C6"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</w:t>
      </w: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Педагогический мониторинг позволяет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bookmarkStart w:id="0" w:name="_GoBack"/>
      <w:bookmarkEnd w:id="0"/>
    </w:p>
    <w:p w:rsidR="005A290F" w:rsidRPr="00FA61EC" w:rsidRDefault="005A290F" w:rsidP="005A290F">
      <w:pPr>
        <w:numPr>
          <w:ilvl w:val="0"/>
          <w:numId w:val="1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 xml:space="preserve"> Отследить успешность и результативность образовательного процесса в каждой группе </w:t>
      </w:r>
      <w:proofErr w:type="gramStart"/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и  учреждении</w:t>
      </w:r>
      <w:proofErr w:type="gramEnd"/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 xml:space="preserve"> в целом</w:t>
      </w:r>
    </w:p>
    <w:p w:rsidR="005A290F" w:rsidRPr="00FA61EC" w:rsidRDefault="005A290F" w:rsidP="005A290F">
      <w:pPr>
        <w:numPr>
          <w:ilvl w:val="0"/>
          <w:numId w:val="1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Обучить педагогов самоанализу и самооценке динамики своей деятельности в образовательном процессе.</w:t>
      </w:r>
    </w:p>
    <w:p w:rsidR="005A290F" w:rsidRPr="00FA61EC" w:rsidRDefault="005A290F" w:rsidP="005A290F">
      <w:pPr>
        <w:numPr>
          <w:ilvl w:val="0"/>
          <w:numId w:val="1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Внести коррективы в образовательный процесс, позволяющие раскрыть потенциал группы и каждого ребёнка полнее, добиться устойчивого прогресса в развитии детей группы</w:t>
      </w:r>
    </w:p>
    <w:p w:rsidR="005A290F" w:rsidRPr="00FA61EC" w:rsidRDefault="005A290F" w:rsidP="005A290F">
      <w:pPr>
        <w:numPr>
          <w:ilvl w:val="0"/>
          <w:numId w:val="1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Прогнозировать перспективы развития группы и каждого ребёнка, исходя из этого ставить задачи перспективного планирования.</w:t>
      </w:r>
    </w:p>
    <w:p w:rsidR="005A290F" w:rsidRPr="00FA61EC" w:rsidRDefault="005A290F" w:rsidP="005A290F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мониторинга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изучить процесс достижения детьми всех возрастных групп итоговых результатов освоения основной общеобразовательной программы дошкольного образования на основе выявления динамики формирования у воспитанников уровня усвоения программы по образовательным областям.</w:t>
      </w:r>
    </w:p>
    <w:p w:rsidR="00F401B1" w:rsidRPr="00FA61EC" w:rsidRDefault="00F401B1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применять на практике различные системы педагогической диагностики, корректировать учебный процесс с учётом полученных данных – это одно из требований к компетентности современного педагога. Мы должны подстроить учебный процесс под ребёнка, а не ребёнка под учебный процесс. Темп усвоения детьми полученной информации разный, различны и особенности памяти, речи, мышления, творческие задатки, заложенные природой, поэтому вести учебный процесс, не учитывая эти факторы, непрофессионально и непродуктивно.</w:t>
      </w:r>
    </w:p>
    <w:p w:rsidR="009309F3" w:rsidRPr="00FA61EC" w:rsidRDefault="00F401B1" w:rsidP="005A290F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Правомерно ли применение педагогических мониторингов в ДОУ? Да, и на это не требуется разрешения родителей. Мониторинг – один из инструментов педагога для повышения качества </w:t>
      </w:r>
      <w:proofErr w:type="spell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педпроцесса</w:t>
      </w:r>
      <w:proofErr w:type="spell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Итоги мониторинга по каждому ребёнку можно </w:t>
      </w:r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нужно 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сообщить интересующемуся его успехами </w:t>
      </w:r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родителю </w:t>
      </w:r>
      <w:proofErr w:type="gramStart"/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родители</w:t>
      </w:r>
      <w:proofErr w:type="gramEnd"/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должны быть полноценными участниками педагогического процесса), 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не другим родителям группы. На собрании же можно говорить об усп</w:t>
      </w:r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ехе или проблемах группы в </w:t>
      </w:r>
      <w:proofErr w:type="gramStart"/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целом 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в процентном отношении, не называя при всех конкретных </w:t>
      </w:r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лий</w:t>
      </w:r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детей.</w:t>
      </w:r>
    </w:p>
    <w:p w:rsidR="005579C0" w:rsidRPr="00FA61EC" w:rsidRDefault="005579C0" w:rsidP="005A290F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79C0" w:rsidRPr="00FA61EC" w:rsidRDefault="005579C0" w:rsidP="005A290F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309F3" w:rsidRPr="00FA61EC" w:rsidRDefault="009309F3" w:rsidP="00495A42">
      <w:pPr>
        <w:shd w:val="clear" w:color="auto" w:fill="FCFDF6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Выделяют следующие виды мониторинга в деятельности дошкольного учреждения:</w:t>
      </w:r>
    </w:p>
    <w:p w:rsidR="009309F3" w:rsidRPr="00FA61EC" w:rsidRDefault="009309F3" w:rsidP="00495A42">
      <w:pPr>
        <w:numPr>
          <w:ilvl w:val="0"/>
          <w:numId w:val="3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182207"/>
          <w:sz w:val="24"/>
          <w:szCs w:val="24"/>
          <w:lang w:eastAsia="ru-RU"/>
        </w:rPr>
        <w:t>Педагогический мониторинг</w:t>
      </w: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обеспечивает педагогов, руководителей качественной и своевременной информацией, необходимой для принятия управленческих решений. Объект педагогического мониторинга – результаты образовательного процесса и средства, используемые для их достижения.</w:t>
      </w:r>
    </w:p>
    <w:p w:rsidR="009309F3" w:rsidRPr="00FA61EC" w:rsidRDefault="009309F3" w:rsidP="00495A42">
      <w:pPr>
        <w:numPr>
          <w:ilvl w:val="0"/>
          <w:numId w:val="3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182207"/>
          <w:sz w:val="24"/>
          <w:szCs w:val="24"/>
          <w:lang w:eastAsia="ru-RU"/>
        </w:rPr>
        <w:t>Медицинский мониторинг</w:t>
      </w: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обеспечивает слежение за динамикой здоровья и функционального состояния ребенка в разных условиях: в семье, в ДОУ. При этом важны не просто констатация, а прогноз развития в соответствии со сложившимися условиями и в случае необходимости – коррекция данных условий.</w:t>
      </w:r>
    </w:p>
    <w:p w:rsidR="009309F3" w:rsidRPr="00FA61EC" w:rsidRDefault="009309F3" w:rsidP="00495A42">
      <w:pPr>
        <w:numPr>
          <w:ilvl w:val="0"/>
          <w:numId w:val="3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182207"/>
          <w:sz w:val="24"/>
          <w:szCs w:val="24"/>
          <w:lang w:eastAsia="ru-RU"/>
        </w:rPr>
        <w:t>Психологический мониторинг</w:t>
      </w: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позволяет выявить факторы, влияющие на психологическое развитие ребенка позитивно или негативно, и обеспечить их оптимальное сочетание, если устранить последние невозможно</w:t>
      </w:r>
      <w:r w:rsidR="00BB4BA5"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 xml:space="preserve"> </w:t>
      </w:r>
      <w:proofErr w:type="gramStart"/>
      <w:r w:rsidR="00BB4BA5"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( возможен</w:t>
      </w:r>
      <w:proofErr w:type="gramEnd"/>
      <w:r w:rsidR="00BB4BA5"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 xml:space="preserve"> только при согласии родителей)</w:t>
      </w: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.</w:t>
      </w:r>
    </w:p>
    <w:p w:rsidR="009309F3" w:rsidRPr="00FA61EC" w:rsidRDefault="009309F3" w:rsidP="00495A42">
      <w:pPr>
        <w:numPr>
          <w:ilvl w:val="0"/>
          <w:numId w:val="3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182207"/>
          <w:sz w:val="24"/>
          <w:szCs w:val="24"/>
          <w:lang w:eastAsia="ru-RU"/>
        </w:rPr>
        <w:t>Управленческий мониторинг</w:t>
      </w: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организовывается таким образом, чтобы через рефлексию, углубленное изучение проблем, проведение семинаров, педагогических советов можно было точно представить состояние управляемой системы и складывающиеся тенденции.</w:t>
      </w:r>
    </w:p>
    <w:p w:rsidR="009309F3" w:rsidRPr="00FA61EC" w:rsidRDefault="009309F3" w:rsidP="005A290F">
      <w:pPr>
        <w:shd w:val="clear" w:color="auto" w:fill="FCFDF6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 предполагает систему отслеживания на протяжении 1–3–5 лет.</w:t>
      </w:r>
    </w:p>
    <w:p w:rsidR="009309F3" w:rsidRPr="00FA61EC" w:rsidRDefault="009309F3" w:rsidP="00495A42">
      <w:pPr>
        <w:shd w:val="clear" w:color="auto" w:fill="FCFDF6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мониторинга</w:t>
      </w:r>
      <w:r w:rsidR="005A290F"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ДОУ</w:t>
      </w: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изучение продуктов детской деятельности;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игровые, тестовые задания;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проведение контрольно-оценочных занятий;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собеседование с педагогами, родителями и детьми;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анкетирование и опрос;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анализ документации;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наблюдение;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в естественных условиях: наблюдение, беседа, анкетирование, анализ документов, продуктов деятельности, опыта работы педагогов</w:t>
      </w:r>
    </w:p>
    <w:p w:rsidR="009309F3" w:rsidRPr="00FA61EC" w:rsidRDefault="009309F3" w:rsidP="00495A42">
      <w:pPr>
        <w:numPr>
          <w:ilvl w:val="0"/>
          <w:numId w:val="4"/>
        </w:numPr>
        <w:shd w:val="clear" w:color="auto" w:fill="FCFDF6"/>
        <w:spacing w:after="0" w:line="240" w:lineRule="auto"/>
        <w:ind w:left="390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  <w:t> качественный анализ и количественная обработка результатов;</w:t>
      </w:r>
    </w:p>
    <w:p w:rsidR="009309F3" w:rsidRPr="00FA61EC" w:rsidRDefault="009309F3" w:rsidP="005A290F">
      <w:pPr>
        <w:shd w:val="clear" w:color="auto" w:fill="FCFDF6"/>
        <w:spacing w:after="0" w:line="240" w:lineRule="auto"/>
        <w:rPr>
          <w:rFonts w:ascii="Times New Roman" w:eastAsia="Times New Roman" w:hAnsi="Times New Roman" w:cs="Times New Roman"/>
          <w:color w:val="182207"/>
          <w:sz w:val="24"/>
          <w:szCs w:val="24"/>
          <w:lang w:eastAsia="ru-RU"/>
        </w:rPr>
      </w:pPr>
    </w:p>
    <w:p w:rsidR="00BB4BA5" w:rsidRPr="00FA61EC" w:rsidRDefault="009309F3" w:rsidP="005A290F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Мониторинг позволяет организовывать работу с детьми в дошкольном учреждении в режиме развития, своевременно выявлять проблемы и принимать своевременные правильные решения в распределении нагрузки на детей, реализации метода дифференцированного и индивидуального подхода к организации образовательной деятельности   с </w:t>
      </w:r>
      <w:proofErr w:type="gram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детьми,  в</w:t>
      </w:r>
      <w:proofErr w:type="gram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прогнозировании дальнейшей деятельности, направленной на развитие дошкольников.</w:t>
      </w:r>
    </w:p>
    <w:p w:rsidR="00287B14" w:rsidRPr="00FA61EC" w:rsidRDefault="00287B14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образовательного процесса и цели</w:t>
      </w:r>
      <w:r w:rsidR="009309F3"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проведения</w:t>
      </w:r>
      <w:r w:rsidR="005A290F"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начального,</w:t>
      </w:r>
      <w:r w:rsidR="009309F3"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промежуточного и итогового мониторинга</w:t>
      </w: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5A290F" w:rsidRPr="00FA61EC" w:rsidRDefault="00287B14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начального мониторинга</w:t>
      </w:r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определить </w:t>
      </w:r>
      <w:proofErr w:type="gramStart"/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отправную</w:t>
      </w:r>
      <w:proofErr w:type="gramEnd"/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точку» </w:t>
      </w:r>
      <w:proofErr w:type="spellStart"/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педпроцесса</w:t>
      </w:r>
      <w:proofErr w:type="spellEnd"/>
      <w:r w:rsidR="005A290F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Точкой отсчёта становится тот уровень знаний и умений ребёнка, его развития, который показал воспитанник в начале учебного года.</w:t>
      </w:r>
      <w:r w:rsidR="004D079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отталкиваемся от этих результатов и планируем дальнейшую учебную работу только исходя из них. Один из принципов успешного образования – последовательность, непрерывность и планомерность учебного процесса. А принципы </w:t>
      </w:r>
      <w:proofErr w:type="spellStart"/>
      <w:r w:rsidR="004D079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педпроцесса</w:t>
      </w:r>
      <w:proofErr w:type="spellEnd"/>
      <w:r w:rsidR="004D079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законы, на которые он опирается и по которым функционирует. Нравится вам или нет, но эти законы вечны и работают всегда:</w:t>
      </w:r>
    </w:p>
    <w:p w:rsidR="004D0798" w:rsidRPr="00FA61EC" w:rsidRDefault="004D0798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не усвоив предыдущего, нельзя переходить к последующему;</w:t>
      </w:r>
    </w:p>
    <w:p w:rsidR="004D0798" w:rsidRPr="00FA61EC" w:rsidRDefault="004D0798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нагрузку нужно увеличивать постепенно, как и сложность материала</w:t>
      </w:r>
    </w:p>
    <w:p w:rsidR="004D0798" w:rsidRPr="00FA61EC" w:rsidRDefault="004D0798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нельзя вести </w:t>
      </w:r>
      <w:proofErr w:type="spell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педпроцесс</w:t>
      </w:r>
      <w:proofErr w:type="spell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безсистемно</w:t>
      </w:r>
      <w:proofErr w:type="spell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«выхватывая» понравившиеся конспекты из сети и методичек, ведь образование – это прежде всего система, где вы чётко ставите цели и идёте к ним, контролируя все обстоятельства;</w:t>
      </w:r>
    </w:p>
    <w:p w:rsidR="004D0798" w:rsidRPr="00FA61EC" w:rsidRDefault="004D0798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- усвоение материала возможно только при условии его закрепления на практике, создание условий для применения ребёнком полученных знаний. Если вы дали тему и не повторяете материал на разных уровнях, то память ребёнка очистит мозг от этой информации, отбросив её, как ненужное.</w:t>
      </w:r>
    </w:p>
    <w:p w:rsidR="004D0798" w:rsidRPr="00FA61EC" w:rsidRDefault="004D0798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Только усвоенные с интересом знания остаются в памяти ребёнка </w:t>
      </w:r>
      <w:proofErr w:type="gram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мы</w:t>
      </w:r>
      <w:proofErr w:type="gram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применяем игровой метод, другие методы, повышающие активность детей на занятии)</w:t>
      </w:r>
    </w:p>
    <w:p w:rsidR="004D0798" w:rsidRPr="00FA61EC" w:rsidRDefault="004D0798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педпроцесс</w:t>
      </w:r>
      <w:proofErr w:type="spell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быть непрерывным: ребёнок, не посещающий ДОУ систематически, выхватывает лишь отдельные темы без повторения и закрепления материала, в итоге нет знаний в системе, не помнит пройденный материал и не умеет применять его на практике.</w:t>
      </w:r>
    </w:p>
    <w:p w:rsidR="009309F3" w:rsidRPr="00FA61EC" w:rsidRDefault="009309F3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87B14"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промежуточного</w:t>
      </w:r>
      <w:r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мониторинга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изучить процесс достижения детьми дошкольно</w:t>
      </w:r>
      <w:r w:rsidR="00287B14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возраста планируемых промежуточных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освоения основной общеобр</w:t>
      </w:r>
      <w:r w:rsidR="00287B14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азовательной программы, выявить динамику их развития и внести коррективы в учебный процесс, учитывая сильные и слабые стороны развития ребёнка или группы.</w:t>
      </w:r>
    </w:p>
    <w:p w:rsidR="00287B14" w:rsidRPr="00FA61EC" w:rsidRDefault="00287B14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итогового мониторинга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отследить конечный уровень развития детей, эффективность и качество вашей образовательно – воспитательной работы, качество применяемых вами методик и педагогических приёмов.</w:t>
      </w:r>
    </w:p>
    <w:p w:rsidR="00D42958" w:rsidRPr="00FA61EC" w:rsidRDefault="005A290F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309F3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истема мониторинга соответствует Федеральным государственным требованиям к структуре основной общеобразовательной программы дошкольного образования. Результаты обследования достигаются путем использования общепринятых критериев усвоения программы детьми дошкольного возраста и уровневым подходом к оценке достижений ребенка по принципу </w:t>
      </w:r>
      <w:r w:rsidR="009309F3"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«Чем ниже балл, тем больше проблем в усвоении программы».</w:t>
      </w: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4295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Периодичность мониторинга устанавливается не менее двух раз в год.</w:t>
      </w:r>
    </w:p>
    <w:p w:rsidR="00D42958" w:rsidRPr="00FA61EC" w:rsidRDefault="00D42958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Этапы работы с итогами мониторинга</w:t>
      </w:r>
    </w:p>
    <w:p w:rsidR="009309F3" w:rsidRPr="00FA61EC" w:rsidRDefault="009309F3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Этап № 1.</w:t>
      </w:r>
      <w:r w:rsidR="00BB4BA5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Воспитатели диагностируют знания детей своих групп, заполняя индивидуальные карты на каждого ребёнка и выводя результаты в итоговую таблицу. Оценка развития детей происходит с учётом диагностики </w:t>
      </w:r>
      <w:proofErr w:type="spellStart"/>
      <w:r w:rsidR="00BB4BA5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физинструктора</w:t>
      </w:r>
      <w:proofErr w:type="spellEnd"/>
      <w:r w:rsidR="00BB4BA5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музыкального руководителя, медицинской сестры. Предварительные итоги мониторинга</w:t>
      </w:r>
      <w:r w:rsidR="00867EF6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групп</w:t>
      </w:r>
      <w:r w:rsidR="00BB4BA5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изучает старший воспитатель, выводит результат </w:t>
      </w:r>
      <w:r w:rsidR="00867EF6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итоговые таблицы по каждой группе и МБДОУ в целом. Методист даёт педагогам каждой группы рекомендации по корректировке </w:t>
      </w:r>
      <w:proofErr w:type="spellStart"/>
      <w:r w:rsidR="00867EF6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="00867EF6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3E73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867EF6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</w:t>
      </w:r>
      <w:r w:rsidR="00FD3E73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спитательного процесса.</w:t>
      </w:r>
      <w:r w:rsidR="00BB4BA5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02FFE" w:rsidRPr="00FA61EC" w:rsidRDefault="009309F3" w:rsidP="00287B14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Этап № 2.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D3E73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Воспитатели с учётом рекомендаций старшего воспитателя и выявленных недостатков вносят корректировку в образовательный процесс в своей группе: планируют занятия, акцентируя внимания на темах, затрудняющих детей группы, закрепляют знания воспитанников в дидактических играх определённой направленности, строят работу по подгруппам с учётом уровня развития каждого ребёнка. Исходя из итогов мониторинга, воспитателя строят индивидуальную работу с детьми. Это целесообразно делать, распределив учебный материал по разделам и темам </w:t>
      </w:r>
      <w:r w:rsidR="00602FFE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вписывая в таблицу</w:t>
      </w:r>
      <w:r w:rsidR="00FD3E73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фамилии тех детей, с которыми требуется дополнительная работа</w:t>
      </w:r>
      <w:r w:rsidR="00602FFE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данной теме. </w:t>
      </w:r>
      <w:proofErr w:type="gramStart"/>
      <w:r w:rsidR="00602FFE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Напротив</w:t>
      </w:r>
      <w:proofErr w:type="gramEnd"/>
      <w:r w:rsidR="00602FFE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фамилий детей воспитатель ставит число занятий с ребёнком по этой теме. Когда тема ребёнком усвоена, хорошо закреплена, в таблице ставится пометка о прекращении с ним занятий по данной теме. Ребёнок может быть переведён в следующую таблицу, предполагающую дальнейшее усложнение материала.</w:t>
      </w:r>
    </w:p>
    <w:p w:rsidR="005579C0" w:rsidRPr="00FA61EC" w:rsidRDefault="005579C0" w:rsidP="00287B14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79C0" w:rsidRPr="00FA61EC" w:rsidRDefault="005579C0" w:rsidP="00287B14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79C0" w:rsidRPr="00FA61EC" w:rsidRDefault="005579C0" w:rsidP="00287B14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79C0" w:rsidRPr="00FA61EC" w:rsidRDefault="005579C0" w:rsidP="00287B14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79C0" w:rsidRPr="00FA61EC" w:rsidRDefault="005579C0" w:rsidP="00287B14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7"/>
        <w:tblW w:w="0" w:type="auto"/>
        <w:tblInd w:w="-295" w:type="dxa"/>
        <w:tblLook w:val="04A0" w:firstRow="1" w:lastRow="0" w:firstColumn="1" w:lastColumn="0" w:noHBand="0" w:noVBand="1"/>
      </w:tblPr>
      <w:tblGrid>
        <w:gridCol w:w="453"/>
        <w:gridCol w:w="1369"/>
        <w:gridCol w:w="435"/>
        <w:gridCol w:w="419"/>
        <w:gridCol w:w="375"/>
        <w:gridCol w:w="393"/>
        <w:gridCol w:w="391"/>
        <w:gridCol w:w="474"/>
        <w:gridCol w:w="473"/>
        <w:gridCol w:w="3180"/>
        <w:gridCol w:w="2602"/>
        <w:gridCol w:w="6"/>
      </w:tblGrid>
      <w:tr w:rsidR="00602FFE" w:rsidRPr="00FA61EC" w:rsidTr="00E022C6">
        <w:trPr>
          <w:trHeight w:val="626"/>
        </w:trPr>
        <w:tc>
          <w:tcPr>
            <w:tcW w:w="10570" w:type="dxa"/>
            <w:gridSpan w:val="12"/>
          </w:tcPr>
          <w:p w:rsidR="00602FFE" w:rsidRPr="00FA61EC" w:rsidRDefault="00602FFE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Тема работы: счёт предметов до 5, выкладывание цифр до пяти.</w:t>
            </w:r>
          </w:p>
        </w:tc>
      </w:tr>
      <w:tr w:rsidR="00602FFE" w:rsidRPr="00FA61EC" w:rsidTr="00E022C6">
        <w:trPr>
          <w:trHeight w:val="374"/>
        </w:trPr>
        <w:tc>
          <w:tcPr>
            <w:tcW w:w="453" w:type="dxa"/>
            <w:vMerge w:val="restart"/>
          </w:tcPr>
          <w:p w:rsidR="00602FFE" w:rsidRPr="00FA61EC" w:rsidRDefault="00602FFE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9" w:type="dxa"/>
            <w:vMerge w:val="restart"/>
          </w:tcPr>
          <w:p w:rsidR="00602FFE" w:rsidRPr="00FA61EC" w:rsidRDefault="00602FFE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Ф.И. ребёнка</w:t>
            </w:r>
          </w:p>
        </w:tc>
        <w:tc>
          <w:tcPr>
            <w:tcW w:w="8748" w:type="dxa"/>
            <w:gridSpan w:val="10"/>
          </w:tcPr>
          <w:p w:rsidR="00602FFE" w:rsidRPr="00FA61EC" w:rsidRDefault="00602FFE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</w:t>
            </w:r>
            <w:r w:rsidR="00D42958"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</w:t>
            </w: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ноябрь</w:t>
            </w:r>
          </w:p>
        </w:tc>
      </w:tr>
      <w:tr w:rsidR="00D42958" w:rsidRPr="00FA61EC" w:rsidTr="00E022C6">
        <w:trPr>
          <w:gridAfter w:val="1"/>
          <w:wAfter w:w="6" w:type="dxa"/>
          <w:trHeight w:val="520"/>
        </w:trPr>
        <w:tc>
          <w:tcPr>
            <w:tcW w:w="453" w:type="dxa"/>
            <w:vMerge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0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Итог:</w:t>
            </w:r>
          </w:p>
        </w:tc>
      </w:tr>
      <w:tr w:rsidR="00D42958" w:rsidRPr="00FA61EC" w:rsidTr="00E022C6">
        <w:trPr>
          <w:gridAfter w:val="1"/>
          <w:wAfter w:w="6" w:type="dxa"/>
          <w:trHeight w:val="493"/>
        </w:trPr>
        <w:tc>
          <w:tcPr>
            <w:tcW w:w="45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Петров В.</w:t>
            </w:r>
          </w:p>
        </w:tc>
        <w:tc>
          <w:tcPr>
            <w:tcW w:w="43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9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4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0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6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+, = либо -</w:t>
            </w:r>
          </w:p>
        </w:tc>
      </w:tr>
      <w:tr w:rsidR="00D42958" w:rsidRPr="00FA61EC" w:rsidTr="00E022C6">
        <w:trPr>
          <w:gridAfter w:val="1"/>
          <w:wAfter w:w="6" w:type="dxa"/>
          <w:trHeight w:val="579"/>
        </w:trPr>
        <w:tc>
          <w:tcPr>
            <w:tcW w:w="45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2958" w:rsidRPr="00FA61EC" w:rsidTr="00E022C6">
        <w:trPr>
          <w:gridAfter w:val="1"/>
          <w:wAfter w:w="6" w:type="dxa"/>
          <w:trHeight w:val="386"/>
        </w:trPr>
        <w:tc>
          <w:tcPr>
            <w:tcW w:w="45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D42958" w:rsidRPr="00FA61EC" w:rsidRDefault="00D42958" w:rsidP="00495A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42958" w:rsidRPr="00FA61EC" w:rsidRDefault="00E022C6" w:rsidP="00495A42">
      <w:pPr>
        <w:shd w:val="clear" w:color="auto" w:fill="FCFDF6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Итог</w:t>
      </w:r>
      <w:r w:rsidR="00D42958" w:rsidRPr="00FA61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="00D4295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«+» - тема усв</w:t>
      </w: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D4295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ена и закреплена </w:t>
      </w:r>
      <w:proofErr w:type="gramStart"/>
      <w:r w:rsidR="00D4295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полностью;  «</w:t>
      </w:r>
      <w:proofErr w:type="gramEnd"/>
      <w:r w:rsidR="00D42958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=» - тема усвоена, но требует дальнейшего закрепления,  «-« - тема не усвоена, продолжать занятия.</w:t>
      </w:r>
    </w:p>
    <w:p w:rsidR="00D42958" w:rsidRPr="00FA61EC" w:rsidRDefault="00287B14" w:rsidP="00495A42">
      <w:pPr>
        <w:shd w:val="clear" w:color="auto" w:fill="FCFDF6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часто нужно отслеживать обратную связь: усвоил ли каждый ребёнок тему? Вы удивитесь, но это нужно делать на каждом занятии, и чем старше дети, тем легче и удобнее это делать. Когда вы привыкнете отслеживать обратную связь, вы перестанете </w:t>
      </w:r>
      <w:proofErr w:type="gram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двигаться</w:t>
      </w:r>
      <w:proofErr w:type="gram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вслепую», вы сможете </w:t>
      </w:r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понять, когда следует давать усложнение, а когда этого делать нельзя. Ваш </w:t>
      </w:r>
      <w:proofErr w:type="spellStart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педпроцесс</w:t>
      </w:r>
      <w:proofErr w:type="spellEnd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станет направленным, упорядоченным, эффективность его значительно повысится, группа </w:t>
      </w:r>
      <w:proofErr w:type="gramStart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пойдёт</w:t>
      </w:r>
      <w:proofErr w:type="gramEnd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вперёд», но есть и « минус» - методички с встроенной в них системой занятий станут почти бесполезны. Вы перестанете вести занятия «один в один», а начнёте брать только то, что сегодня соотносится с вашим планом. Вы удивитесь тому, как повысится качество </w:t>
      </w:r>
      <w:proofErr w:type="spellStart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педпроцесса</w:t>
      </w:r>
      <w:proofErr w:type="spellEnd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перестанете </w:t>
      </w:r>
      <w:proofErr w:type="gramStart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работать</w:t>
      </w:r>
      <w:proofErr w:type="gramEnd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вхолостую» и никогда уже не сможете работать по – другому. Если это будет так, то я вас поздравляю –это уже признак мастерства.  Ни один мастер не захочет повторять образец, копируя его, это не интересно. Мастер создаёт на основе образца что – то новое, принципиально новое, творчески применяет полученные знания, учится на ошибках, берёт только самое эффективное, отбрасывая то, что уже не работает.  Так созданы все изобретения, так движется прогресс. До уровня мастера </w:t>
      </w:r>
      <w:proofErr w:type="gramStart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дорасти только</w:t>
      </w:r>
      <w:proofErr w:type="gramEnd"/>
      <w:r w:rsidR="00F923A2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опираясь на знания методик и творчески применяя этот багаж. Э</w:t>
      </w:r>
      <w:r w:rsidR="005579C0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вечный поиск и вечный процесс вашего обучения и самосовершенствования как воспитателя, учителя.</w:t>
      </w:r>
    </w:p>
    <w:p w:rsidR="00D42958" w:rsidRPr="00495A42" w:rsidRDefault="005579C0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спросите меня: </w:t>
      </w:r>
      <w:proofErr w:type="gram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Зачем</w:t>
      </w:r>
      <w:proofErr w:type="gram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изобретать велосипед, если система советского образования детально всё продумала и всё это можно найти в книгах?» Недостаток той системы в том, что многие приёмы не применимы к современному ребёнку, Вы знаете, что советские ребятишки существенно отличаются от современных детей. Для современного дошкольника характерны: кратковременная память, </w:t>
      </w:r>
      <w:proofErr w:type="gramStart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клиповое</w:t>
      </w:r>
      <w:proofErr w:type="gramEnd"/>
      <w:r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мышление ( картинками), высокая возбудимость и быстрая утомляемость нервной системы, бедная речь, невозможность длительного сидения и выполнения монотонных повторяющихся заданий, </w:t>
      </w:r>
      <w:r w:rsidR="00E022C6" w:rsidRPr="00FA61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неусидчивость, потребность в ярких впечатлениях и практических действиях взрослого при подаче материала ( это воспитывается рекламой и закрепляется уже до 3 лет). Дети гораздо хуже воспринимают информацию на слух, а мы продолжаем говорить и говорить, не подкрепляя слова наглядностью. Изменились дети – должны меняться и мы, наши методы подачи и закрепления материала, методы воздействия на воспитанников, требования к ним. Когда подстраиваешь группу под себя, натыкаешься на низкий итог работы. Процесс поиска эффективных методов чрезвычайно интересен, подстраивая работу под детей, многому учишься сам и никогда не останавливаешься в этом развитии. Удачи вам и творческой работы.</w:t>
      </w:r>
    </w:p>
    <w:p w:rsidR="009309F3" w:rsidRPr="00495A42" w:rsidRDefault="009309F3" w:rsidP="00495A42">
      <w:pPr>
        <w:shd w:val="clear" w:color="auto" w:fill="FCFDF6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30A6" w:rsidRDefault="007530A6"/>
    <w:sectPr w:rsidR="007530A6" w:rsidSect="005579C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35" w:rsidRDefault="00647D35" w:rsidP="008D5C54">
      <w:pPr>
        <w:spacing w:after="0" w:line="240" w:lineRule="auto"/>
      </w:pPr>
      <w:r>
        <w:separator/>
      </w:r>
    </w:p>
  </w:endnote>
  <w:endnote w:type="continuationSeparator" w:id="0">
    <w:p w:rsidR="00647D35" w:rsidRDefault="00647D35" w:rsidP="008D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4970"/>
      <w:docPartObj>
        <w:docPartGallery w:val="Page Numbers (Bottom of Page)"/>
        <w:docPartUnique/>
      </w:docPartObj>
    </w:sdtPr>
    <w:sdtEndPr/>
    <w:sdtContent>
      <w:p w:rsidR="00D42958" w:rsidRDefault="00D429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1EC">
          <w:rPr>
            <w:noProof/>
          </w:rPr>
          <w:t>2</w:t>
        </w:r>
        <w:r>
          <w:fldChar w:fldCharType="end"/>
        </w:r>
      </w:p>
    </w:sdtContent>
  </w:sdt>
  <w:p w:rsidR="00D42958" w:rsidRDefault="00D429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35" w:rsidRDefault="00647D35" w:rsidP="008D5C54">
      <w:pPr>
        <w:spacing w:after="0" w:line="240" w:lineRule="auto"/>
      </w:pPr>
      <w:r>
        <w:separator/>
      </w:r>
    </w:p>
  </w:footnote>
  <w:footnote w:type="continuationSeparator" w:id="0">
    <w:p w:rsidR="00647D35" w:rsidRDefault="00647D35" w:rsidP="008D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4B9"/>
    <w:multiLevelType w:val="multilevel"/>
    <w:tmpl w:val="78F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269B"/>
    <w:multiLevelType w:val="multilevel"/>
    <w:tmpl w:val="78E0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E6C4C"/>
    <w:multiLevelType w:val="multilevel"/>
    <w:tmpl w:val="01C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24193"/>
    <w:multiLevelType w:val="multilevel"/>
    <w:tmpl w:val="DB6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13489"/>
    <w:multiLevelType w:val="multilevel"/>
    <w:tmpl w:val="4F1C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A59AB"/>
    <w:multiLevelType w:val="multilevel"/>
    <w:tmpl w:val="881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24B83"/>
    <w:multiLevelType w:val="multilevel"/>
    <w:tmpl w:val="433C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EE"/>
    <w:rsid w:val="00061AEE"/>
    <w:rsid w:val="00287B14"/>
    <w:rsid w:val="00495A42"/>
    <w:rsid w:val="004D0798"/>
    <w:rsid w:val="004F6E5D"/>
    <w:rsid w:val="005579C0"/>
    <w:rsid w:val="005965A7"/>
    <w:rsid w:val="005A290F"/>
    <w:rsid w:val="00602FFE"/>
    <w:rsid w:val="00647D35"/>
    <w:rsid w:val="007530A6"/>
    <w:rsid w:val="008057F1"/>
    <w:rsid w:val="00862FCF"/>
    <w:rsid w:val="00867EF6"/>
    <w:rsid w:val="00890F45"/>
    <w:rsid w:val="008D5C54"/>
    <w:rsid w:val="009309F3"/>
    <w:rsid w:val="00B174AB"/>
    <w:rsid w:val="00BB4BA5"/>
    <w:rsid w:val="00D42958"/>
    <w:rsid w:val="00E022C6"/>
    <w:rsid w:val="00F401B1"/>
    <w:rsid w:val="00F923A2"/>
    <w:rsid w:val="00FA61EC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5F67CB-995E-45AE-BE29-925EAE78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C54"/>
  </w:style>
  <w:style w:type="paragraph" w:styleId="a5">
    <w:name w:val="footer"/>
    <w:basedOn w:val="a"/>
    <w:link w:val="a6"/>
    <w:uiPriority w:val="99"/>
    <w:unhideWhenUsed/>
    <w:rsid w:val="008D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C54"/>
  </w:style>
  <w:style w:type="table" w:styleId="a7">
    <w:name w:val="Table Grid"/>
    <w:basedOn w:val="a1"/>
    <w:uiPriority w:val="39"/>
    <w:rsid w:val="0060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2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9</cp:revision>
  <cp:lastPrinted>2018-10-18T08:24:00Z</cp:lastPrinted>
  <dcterms:created xsi:type="dcterms:W3CDTF">2015-10-26T11:41:00Z</dcterms:created>
  <dcterms:modified xsi:type="dcterms:W3CDTF">2018-11-15T11:56:00Z</dcterms:modified>
</cp:coreProperties>
</file>